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77" w:rsidRDefault="00AB6077" w:rsidP="00F01490">
      <w:pPr>
        <w:jc w:val="center"/>
        <w:rPr>
          <w:b/>
          <w:sz w:val="28"/>
        </w:rPr>
      </w:pPr>
    </w:p>
    <w:p w:rsidR="00D76FC5" w:rsidRDefault="00F01490" w:rsidP="00F01490">
      <w:pPr>
        <w:jc w:val="center"/>
        <w:rPr>
          <w:b/>
          <w:sz w:val="28"/>
        </w:rPr>
      </w:pPr>
      <w:r w:rsidRPr="00F01490">
        <w:rPr>
          <w:b/>
          <w:sz w:val="28"/>
        </w:rPr>
        <w:t>Resposta ao pedido de Esclarecimento do Fórum Goiano do 3º Setor</w:t>
      </w:r>
    </w:p>
    <w:p w:rsidR="00AB6077" w:rsidRDefault="00AB6077" w:rsidP="00AB6077">
      <w:pPr>
        <w:jc w:val="both"/>
      </w:pPr>
    </w:p>
    <w:p w:rsidR="00F01490" w:rsidRDefault="00F01490" w:rsidP="00AB6077">
      <w:pPr>
        <w:jc w:val="both"/>
      </w:pPr>
      <w:r>
        <w:t xml:space="preserve">Inicialmente essa comissão reconhece a tempestividade do pedido de esclarecimento apresentado pelo Fórum Goiano do 3º Setor. </w:t>
      </w:r>
    </w:p>
    <w:p w:rsidR="00F01490" w:rsidRDefault="00F01490" w:rsidP="00AB6077">
      <w:pPr>
        <w:jc w:val="both"/>
      </w:pPr>
      <w:r>
        <w:t xml:space="preserve">Com relação ao pedido de esclarecimento do item 9.2.1 informa-se que no envelope de pedido de esclarecimento contenha “ESCLARECIMENTO DO EDITAL DO CHAMAMENTO PÚBLICO N°001/2019”. O que foi inclusive efetivado pela entidade </w:t>
      </w:r>
      <w:proofErr w:type="spellStart"/>
      <w:r>
        <w:t>questiona</w:t>
      </w:r>
      <w:r w:rsidR="00AB6077">
        <w:t>n</w:t>
      </w:r>
      <w:r>
        <w:t>te</w:t>
      </w:r>
      <w:proofErr w:type="spellEnd"/>
      <w:r>
        <w:t>, tendo sido recebido pela comissão e analisado o pedido. Portanto não houve prejuízo ao interessado.</w:t>
      </w:r>
    </w:p>
    <w:p w:rsidR="00AB6077" w:rsidRDefault="00F01490" w:rsidP="00AB6077">
      <w:pPr>
        <w:jc w:val="both"/>
      </w:pPr>
      <w:r>
        <w:t xml:space="preserve">O item </w:t>
      </w:r>
      <w:proofErr w:type="gramStart"/>
      <w:r>
        <w:t>9</w:t>
      </w:r>
      <w:proofErr w:type="gramEnd"/>
      <w:r>
        <w:t xml:space="preserve"> que contém a planilha de datas fica neste ato alterada conforme abaixo especificada, com a observação que o prazo de 30 dias para a apresentação das propostas refere-se a ultimo dia para a entrega destas e não ao inicio de entrega.</w:t>
      </w:r>
    </w:p>
    <w:p w:rsidR="00AB6077" w:rsidRDefault="00AB6077" w:rsidP="00AB6077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ETAPA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DATA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Publicação do Edital de Chamamento Público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17/04/2019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2</w:t>
            </w:r>
            <w:proofErr w:type="gramEnd"/>
            <w:r>
              <w:t xml:space="preserve"> Pedido de esclarecimento e impugnação deste Edital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22/04/2019, às 17horas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 Análise e resposta aos pedidos de esclarecimento e impugnação deste Edital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26 de abril de 2019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Envio das propostas pelas </w:t>
            </w:r>
            <w:proofErr w:type="spellStart"/>
            <w:r>
              <w:t>OSCs</w:t>
            </w:r>
            <w:proofErr w:type="spellEnd"/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29/04/2019 a 14/06/2019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5</w:t>
            </w:r>
            <w:proofErr w:type="gramEnd"/>
            <w:r>
              <w:t xml:space="preserve"> Sessão Pública de abertura dos envelopes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17/06/2019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6</w:t>
            </w:r>
            <w:proofErr w:type="gramEnd"/>
            <w:r>
              <w:t xml:space="preserve"> Avaliação das propostas pela Comissão de Seleção*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18/06/2019 a 04/07/2019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7</w:t>
            </w:r>
            <w:proofErr w:type="gramEnd"/>
            <w:r>
              <w:t xml:space="preserve"> Divulgação do resultado preliminar*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05/07/2019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8</w:t>
            </w:r>
            <w:proofErr w:type="gramEnd"/>
            <w:r>
              <w:t xml:space="preserve"> Interposição de recursos contra o resultado preliminar*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09/07/2019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proofErr w:type="gramStart"/>
            <w:r>
              <w:t>9</w:t>
            </w:r>
            <w:proofErr w:type="gramEnd"/>
            <w:r>
              <w:t xml:space="preserve"> Análise dos recursos pela Comissão de Seleção*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12/07/2019</w:t>
            </w:r>
          </w:p>
        </w:tc>
      </w:tr>
      <w:tr w:rsidR="00AB6077" w:rsidTr="00750260"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10 Homologação e publicação do resultado definitivo da fase de seleção, com divulgação das decisões recursais proferidas (se houver</w:t>
            </w:r>
            <w:proofErr w:type="gramStart"/>
            <w:r>
              <w:t>)</w:t>
            </w:r>
            <w:proofErr w:type="gramEnd"/>
            <w:r>
              <w:t>*</w:t>
            </w:r>
          </w:p>
        </w:tc>
        <w:tc>
          <w:tcPr>
            <w:tcW w:w="4322" w:type="dxa"/>
          </w:tcPr>
          <w:p w:rsidR="00AB6077" w:rsidRDefault="00AB6077" w:rsidP="00750260">
            <w:pPr>
              <w:jc w:val="both"/>
            </w:pPr>
            <w:r>
              <w:t>17/07/2019</w:t>
            </w:r>
          </w:p>
        </w:tc>
      </w:tr>
    </w:tbl>
    <w:p w:rsidR="00AB6077" w:rsidRDefault="00AB6077" w:rsidP="00AB6077">
      <w:pPr>
        <w:jc w:val="both"/>
      </w:pPr>
    </w:p>
    <w:p w:rsidR="00F01490" w:rsidRDefault="00F01490" w:rsidP="00AB6077">
      <w:pPr>
        <w:jc w:val="both"/>
      </w:pPr>
      <w:r>
        <w:t xml:space="preserve">O </w:t>
      </w:r>
      <w:proofErr w:type="spellStart"/>
      <w:proofErr w:type="gramStart"/>
      <w:r w:rsidR="0002678D">
        <w:t>sub-item</w:t>
      </w:r>
      <w:proofErr w:type="spellEnd"/>
      <w:proofErr w:type="gramEnd"/>
      <w:r>
        <w:t xml:space="preserve"> </w:t>
      </w:r>
      <w:r w:rsidR="0002678D">
        <w:t xml:space="preserve">XIV do item </w:t>
      </w:r>
      <w:r>
        <w:t>12.3.1</w:t>
      </w:r>
      <w:r w:rsidR="004E6572">
        <w:t xml:space="preserve"> passa ter a seguinte redação</w:t>
      </w:r>
      <w:r w:rsidR="00DD3F3D">
        <w:t>:</w:t>
      </w:r>
      <w:r w:rsidR="004E6572">
        <w:t xml:space="preserve"> </w:t>
      </w:r>
      <w:r w:rsidR="00DD3F3D">
        <w:t>“</w:t>
      </w:r>
      <w:r w:rsidR="0002678D">
        <w:t xml:space="preserve">XIV - </w:t>
      </w:r>
      <w:r w:rsidR="004E6572">
        <w:t xml:space="preserve">Declaração de funcionamento regular da entidade durante os últimos cinco anos, emitidas no exercício de 2019 por 03 (três) autoridades locais </w:t>
      </w:r>
      <w:r w:rsidR="00DD3F3D">
        <w:t>(</w:t>
      </w:r>
      <w:r w:rsidR="004E6572">
        <w:t>LDO, art.29 § 2º</w:t>
      </w:r>
      <w:r w:rsidR="00DD3F3D">
        <w:t>)”.</w:t>
      </w:r>
    </w:p>
    <w:p w:rsidR="0002678D" w:rsidRDefault="0002678D" w:rsidP="00AB6077">
      <w:pPr>
        <w:jc w:val="both"/>
      </w:pPr>
      <w:r>
        <w:t xml:space="preserve">O </w:t>
      </w:r>
      <w:proofErr w:type="spellStart"/>
      <w:proofErr w:type="gramStart"/>
      <w:r>
        <w:t>sub-item</w:t>
      </w:r>
      <w:proofErr w:type="spellEnd"/>
      <w:proofErr w:type="gramEnd"/>
      <w:r>
        <w:t xml:space="preserve"> 12.4.1 faz referência a proposta técnica, indicando que devem ser atendidos os elementos “abaixo indicados”, que se referem ao </w:t>
      </w:r>
      <w:proofErr w:type="spellStart"/>
      <w:r>
        <w:t>sub-item</w:t>
      </w:r>
      <w:proofErr w:type="spellEnd"/>
      <w:r>
        <w:t xml:space="preserve"> 12.4.2 letras “a” até “h”.</w:t>
      </w:r>
    </w:p>
    <w:p w:rsidR="00AB6077" w:rsidRDefault="0002678D" w:rsidP="00AB6077">
      <w:pPr>
        <w:jc w:val="both"/>
      </w:pPr>
      <w:r>
        <w:t xml:space="preserve">Quanto ao pedido de esclarecimento de preenchimento do quadro anexo </w:t>
      </w:r>
      <w:proofErr w:type="gramStart"/>
      <w:r>
        <w:t>1</w:t>
      </w:r>
      <w:proofErr w:type="gramEnd"/>
      <w:r>
        <w:t xml:space="preserve"> item 8 informa que pode ser usado o parâmetro do exercício anterior, ressaltando que o Auxílio Nutricional </w:t>
      </w:r>
    </w:p>
    <w:p w:rsidR="00AB6077" w:rsidRDefault="00AB6077" w:rsidP="00AB6077">
      <w:pPr>
        <w:jc w:val="both"/>
      </w:pPr>
    </w:p>
    <w:p w:rsidR="0002678D" w:rsidRDefault="0002678D" w:rsidP="00AB6077">
      <w:pPr>
        <w:jc w:val="both"/>
      </w:pPr>
      <w:r>
        <w:lastRenderedPageBreak/>
        <w:t>Financeiro é complementar e possível valor fixo de R$1,50 (um real e cinquenta centavos) por pessoa dia.</w:t>
      </w:r>
      <w:r w:rsidR="00327627">
        <w:t xml:space="preserve"> Com relação à isenção das taxas de energia e água a base será a média dos </w:t>
      </w:r>
      <w:r w:rsidR="00327627" w:rsidRPr="00327627">
        <w:t xml:space="preserve">últimos </w:t>
      </w:r>
      <w:proofErr w:type="gramStart"/>
      <w:r w:rsidR="00327627" w:rsidRPr="00327627">
        <w:t>6</w:t>
      </w:r>
      <w:proofErr w:type="gramEnd"/>
      <w:r w:rsidR="00327627" w:rsidRPr="00327627">
        <w:t xml:space="preserve"> meses.</w:t>
      </w:r>
      <w:r w:rsidR="00327627">
        <w:t xml:space="preserve"> </w:t>
      </w:r>
    </w:p>
    <w:p w:rsidR="00327627" w:rsidRDefault="00327627" w:rsidP="00AB6077">
      <w:pPr>
        <w:jc w:val="both"/>
      </w:pPr>
      <w:r>
        <w:t xml:space="preserve">Por fim verifica-se que o </w:t>
      </w:r>
      <w:proofErr w:type="spellStart"/>
      <w:proofErr w:type="gramStart"/>
      <w:r>
        <w:t>sub-item</w:t>
      </w:r>
      <w:proofErr w:type="spellEnd"/>
      <w:proofErr w:type="gramEnd"/>
      <w:r>
        <w:t xml:space="preserve"> 10.2 é claro e preciso, quando especifica na letras “a” a “c” os indicadores qualitativos, cuja ocorrência pode não ocorrer dentro do bimestre ao qual se exige o relatório.</w:t>
      </w:r>
    </w:p>
    <w:p w:rsidR="00AB6077" w:rsidRDefault="00AB6077" w:rsidP="00AB6077">
      <w:pPr>
        <w:jc w:val="both"/>
      </w:pPr>
    </w:p>
    <w:p w:rsidR="00AB6077" w:rsidRPr="00AB6077" w:rsidRDefault="00AB6077" w:rsidP="00AB6077">
      <w:pPr>
        <w:jc w:val="right"/>
        <w:rPr>
          <w:b/>
        </w:rPr>
      </w:pPr>
      <w:r w:rsidRPr="00AB6077">
        <w:rPr>
          <w:b/>
        </w:rPr>
        <w:t xml:space="preserve">Comissão de Chamamento Público </w:t>
      </w:r>
    </w:p>
    <w:p w:rsidR="00AB6077" w:rsidRDefault="00AB6077" w:rsidP="00AB6077">
      <w:pPr>
        <w:jc w:val="both"/>
      </w:pPr>
    </w:p>
    <w:p w:rsidR="00AB6077" w:rsidRDefault="00AB6077" w:rsidP="00AB6077">
      <w:pPr>
        <w:jc w:val="both"/>
      </w:pPr>
    </w:p>
    <w:p w:rsidR="00AB6077" w:rsidRDefault="00AB6077" w:rsidP="00AB6077">
      <w:pPr>
        <w:jc w:val="both"/>
      </w:pPr>
    </w:p>
    <w:p w:rsidR="00AB6077" w:rsidRDefault="00AB6077" w:rsidP="00AB6077">
      <w:pPr>
        <w:jc w:val="both"/>
      </w:pPr>
    </w:p>
    <w:p w:rsidR="00AB6077" w:rsidRDefault="00AB6077" w:rsidP="00AB6077">
      <w:pPr>
        <w:jc w:val="both"/>
      </w:pPr>
    </w:p>
    <w:p w:rsidR="00AB6077" w:rsidRDefault="00AB6077" w:rsidP="00AB6077">
      <w:pPr>
        <w:jc w:val="both"/>
      </w:pPr>
    </w:p>
    <w:p w:rsidR="00AB6077" w:rsidRDefault="00AB6077" w:rsidP="00AB6077">
      <w:pPr>
        <w:jc w:val="both"/>
      </w:pPr>
    </w:p>
    <w:p w:rsidR="00186FEC" w:rsidRDefault="00186FEC" w:rsidP="00AB6077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r>
              <w:t>ETAPA</w:t>
            </w:r>
          </w:p>
        </w:tc>
        <w:tc>
          <w:tcPr>
            <w:tcW w:w="4322" w:type="dxa"/>
          </w:tcPr>
          <w:p w:rsidR="00186FEC" w:rsidRDefault="00186FEC" w:rsidP="00AB6077">
            <w:pPr>
              <w:jc w:val="both"/>
            </w:pPr>
            <w:r>
              <w:t>DATA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Publicação do Edital de Chamamento Público</w:t>
            </w:r>
          </w:p>
        </w:tc>
        <w:tc>
          <w:tcPr>
            <w:tcW w:w="4322" w:type="dxa"/>
          </w:tcPr>
          <w:p w:rsidR="00186FEC" w:rsidRDefault="00327627" w:rsidP="00AB6077">
            <w:pPr>
              <w:jc w:val="both"/>
            </w:pPr>
            <w:r>
              <w:t>17/04/2019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2</w:t>
            </w:r>
            <w:proofErr w:type="gramEnd"/>
            <w:r>
              <w:t xml:space="preserve"> Pedido de esclarecimento e impugnação deste Edital</w:t>
            </w:r>
          </w:p>
        </w:tc>
        <w:tc>
          <w:tcPr>
            <w:tcW w:w="4322" w:type="dxa"/>
          </w:tcPr>
          <w:p w:rsidR="00186FEC" w:rsidRDefault="00327627" w:rsidP="00AB6077">
            <w:pPr>
              <w:jc w:val="both"/>
            </w:pPr>
            <w:r>
              <w:t>22/04/2019, às 17horas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 Análise e resposta aos pedidos de esclarecimento e impugnação deste Edital</w:t>
            </w:r>
          </w:p>
        </w:tc>
        <w:tc>
          <w:tcPr>
            <w:tcW w:w="4322" w:type="dxa"/>
          </w:tcPr>
          <w:p w:rsidR="00186FEC" w:rsidRDefault="00327627" w:rsidP="00AB6077">
            <w:pPr>
              <w:jc w:val="both"/>
            </w:pPr>
            <w:r>
              <w:t>26 de abril de 2019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Envio das propostas pelas </w:t>
            </w:r>
            <w:proofErr w:type="spellStart"/>
            <w:r>
              <w:t>OSCs</w:t>
            </w:r>
            <w:proofErr w:type="spellEnd"/>
          </w:p>
        </w:tc>
        <w:tc>
          <w:tcPr>
            <w:tcW w:w="4322" w:type="dxa"/>
          </w:tcPr>
          <w:p w:rsidR="00186FEC" w:rsidRDefault="00327627" w:rsidP="00AB6077">
            <w:pPr>
              <w:jc w:val="both"/>
            </w:pPr>
            <w:r>
              <w:t>29/04/2019 a 14/06/2019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5</w:t>
            </w:r>
            <w:proofErr w:type="gramEnd"/>
            <w:r>
              <w:t xml:space="preserve"> Sessão Pública de abertura dos envelopes</w:t>
            </w:r>
          </w:p>
        </w:tc>
        <w:tc>
          <w:tcPr>
            <w:tcW w:w="4322" w:type="dxa"/>
          </w:tcPr>
          <w:p w:rsidR="00186FEC" w:rsidRDefault="009C6BFC" w:rsidP="00AB6077">
            <w:pPr>
              <w:jc w:val="both"/>
            </w:pPr>
            <w:r>
              <w:t>17/06/2019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6</w:t>
            </w:r>
            <w:proofErr w:type="gramEnd"/>
            <w:r>
              <w:t xml:space="preserve"> Avaliação das propostas pela Comissão de Seleção*</w:t>
            </w:r>
          </w:p>
        </w:tc>
        <w:tc>
          <w:tcPr>
            <w:tcW w:w="4322" w:type="dxa"/>
          </w:tcPr>
          <w:p w:rsidR="00186FEC" w:rsidRDefault="009C6BFC" w:rsidP="00AB6077">
            <w:pPr>
              <w:jc w:val="both"/>
            </w:pPr>
            <w:r>
              <w:t>18/06/2019 a 04/07/2019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7</w:t>
            </w:r>
            <w:proofErr w:type="gramEnd"/>
            <w:r>
              <w:t xml:space="preserve"> Divulgação do resultado preliminar*</w:t>
            </w:r>
          </w:p>
        </w:tc>
        <w:tc>
          <w:tcPr>
            <w:tcW w:w="4322" w:type="dxa"/>
          </w:tcPr>
          <w:p w:rsidR="00186FEC" w:rsidRDefault="009C6BFC" w:rsidP="00AB6077">
            <w:pPr>
              <w:jc w:val="both"/>
            </w:pPr>
            <w:r>
              <w:t>05/07/2019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8</w:t>
            </w:r>
            <w:proofErr w:type="gramEnd"/>
            <w:r>
              <w:t xml:space="preserve"> Interposição de recursos contra o resultado preliminar*</w:t>
            </w:r>
          </w:p>
        </w:tc>
        <w:tc>
          <w:tcPr>
            <w:tcW w:w="4322" w:type="dxa"/>
          </w:tcPr>
          <w:p w:rsidR="00186FEC" w:rsidRDefault="009C6BFC" w:rsidP="00AB6077">
            <w:pPr>
              <w:jc w:val="both"/>
            </w:pPr>
            <w:r>
              <w:t>09/07/2019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proofErr w:type="gramStart"/>
            <w:r>
              <w:t>9</w:t>
            </w:r>
            <w:proofErr w:type="gramEnd"/>
            <w:r>
              <w:t xml:space="preserve"> Análise dos recursos pela Comissão de Seleção*</w:t>
            </w:r>
          </w:p>
        </w:tc>
        <w:tc>
          <w:tcPr>
            <w:tcW w:w="4322" w:type="dxa"/>
          </w:tcPr>
          <w:p w:rsidR="00186FEC" w:rsidRDefault="009C6BFC" w:rsidP="00AB6077">
            <w:pPr>
              <w:jc w:val="both"/>
            </w:pPr>
            <w:r>
              <w:t>12/07/2019</w:t>
            </w:r>
          </w:p>
        </w:tc>
      </w:tr>
      <w:tr w:rsidR="00186FEC" w:rsidTr="00E52DDE">
        <w:tc>
          <w:tcPr>
            <w:tcW w:w="4322" w:type="dxa"/>
          </w:tcPr>
          <w:p w:rsidR="00186FEC" w:rsidRDefault="00186FEC" w:rsidP="00AB6077">
            <w:pPr>
              <w:jc w:val="both"/>
            </w:pPr>
            <w:r>
              <w:t>10 Homologação e publicação do resultado definitivo da fase de seleção, com divulgação das decisões recursais proferidas (se houver</w:t>
            </w:r>
            <w:proofErr w:type="gramStart"/>
            <w:r>
              <w:t>)</w:t>
            </w:r>
            <w:proofErr w:type="gramEnd"/>
            <w:r>
              <w:t>*</w:t>
            </w:r>
          </w:p>
        </w:tc>
        <w:tc>
          <w:tcPr>
            <w:tcW w:w="4322" w:type="dxa"/>
          </w:tcPr>
          <w:p w:rsidR="00186FEC" w:rsidRDefault="009C6BFC" w:rsidP="00AB6077">
            <w:pPr>
              <w:jc w:val="both"/>
            </w:pPr>
            <w:r>
              <w:t>17/07/2019</w:t>
            </w:r>
          </w:p>
        </w:tc>
      </w:tr>
    </w:tbl>
    <w:p w:rsidR="00F01490" w:rsidRDefault="00F01490" w:rsidP="00AB6077">
      <w:pPr>
        <w:jc w:val="both"/>
      </w:pPr>
    </w:p>
    <w:sectPr w:rsidR="00F01490" w:rsidSect="001306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24" w:rsidRDefault="00B40024" w:rsidP="00AB6077">
      <w:pPr>
        <w:spacing w:after="0" w:line="240" w:lineRule="auto"/>
      </w:pPr>
      <w:r>
        <w:separator/>
      </w:r>
    </w:p>
  </w:endnote>
  <w:endnote w:type="continuationSeparator" w:id="0">
    <w:p w:rsidR="00B40024" w:rsidRDefault="00B40024" w:rsidP="00AB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24" w:rsidRDefault="00B40024" w:rsidP="00AB6077">
      <w:pPr>
        <w:spacing w:after="0" w:line="240" w:lineRule="auto"/>
      </w:pPr>
      <w:r>
        <w:separator/>
      </w:r>
    </w:p>
  </w:footnote>
  <w:footnote w:type="continuationSeparator" w:id="0">
    <w:p w:rsidR="00B40024" w:rsidRDefault="00B40024" w:rsidP="00AB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77" w:rsidRDefault="00AB6077">
    <w:pPr>
      <w:pStyle w:val="Cabealho"/>
    </w:pPr>
    <w:r w:rsidRPr="00AB6077">
      <w:drawing>
        <wp:inline distT="0" distB="0" distL="0" distR="0">
          <wp:extent cx="1962524" cy="9048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envolvimento 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71" cy="90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490"/>
    <w:rsid w:val="0002678D"/>
    <w:rsid w:val="001306A7"/>
    <w:rsid w:val="00186FEC"/>
    <w:rsid w:val="00203654"/>
    <w:rsid w:val="00327627"/>
    <w:rsid w:val="004B6B8A"/>
    <w:rsid w:val="004E6572"/>
    <w:rsid w:val="009C6BFC"/>
    <w:rsid w:val="00AB6077"/>
    <w:rsid w:val="00B40024"/>
    <w:rsid w:val="00D71C78"/>
    <w:rsid w:val="00DD3F3D"/>
    <w:rsid w:val="00F0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6FEC"/>
    <w:pPr>
      <w:spacing w:after="0" w:line="240" w:lineRule="auto"/>
    </w:pPr>
    <w:rPr>
      <w:rFonts w:ascii="Calibri" w:eastAsia="Calibri" w:hAnsi="Calibri" w:cs="Calibri"/>
      <w:sz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077"/>
  </w:style>
  <w:style w:type="paragraph" w:styleId="Rodap">
    <w:name w:val="footer"/>
    <w:basedOn w:val="Normal"/>
    <w:link w:val="RodapChar"/>
    <w:uiPriority w:val="99"/>
    <w:semiHidden/>
    <w:unhideWhenUsed/>
    <w:rsid w:val="00A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6077"/>
  </w:style>
  <w:style w:type="paragraph" w:styleId="Textodebalo">
    <w:name w:val="Balloon Text"/>
    <w:basedOn w:val="Normal"/>
    <w:link w:val="TextodebaloChar"/>
    <w:uiPriority w:val="99"/>
    <w:semiHidden/>
    <w:unhideWhenUsed/>
    <w:rsid w:val="00A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Isismar nascimento e Silva Gomes</dc:creator>
  <cp:lastModifiedBy>Isismar nascimento e Silva Gomes</cp:lastModifiedBy>
  <cp:revision>3</cp:revision>
  <dcterms:created xsi:type="dcterms:W3CDTF">2019-04-26T21:50:00Z</dcterms:created>
  <dcterms:modified xsi:type="dcterms:W3CDTF">2019-04-26T22:40:00Z</dcterms:modified>
</cp:coreProperties>
</file>